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B39C" w14:textId="77777777" w:rsidR="00BE1CB3" w:rsidRDefault="00BE1CB3" w:rsidP="00BE1CB3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MUZEJ GRADA ILOKA</w:t>
      </w:r>
    </w:p>
    <w:p w14:paraId="12C54077" w14:textId="77777777" w:rsidR="00BE1CB3" w:rsidRDefault="00BE1CB3" w:rsidP="00BE1CB3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Šetalište oca Mladena Barbarića 5</w:t>
      </w:r>
    </w:p>
    <w:p w14:paraId="3446D213" w14:textId="77777777" w:rsidR="00BE1CB3" w:rsidRDefault="00BE1CB3" w:rsidP="00BE1CB3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32 236 Ilok</w:t>
      </w:r>
    </w:p>
    <w:p w14:paraId="1BF5E943" w14:textId="77777777" w:rsidR="00BE1CB3" w:rsidRDefault="00BE1CB3" w:rsidP="00BE1CB3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</w:t>
      </w:r>
    </w:p>
    <w:p w14:paraId="44027852" w14:textId="08F1912B" w:rsidR="00BE1CB3" w:rsidRDefault="00BE1CB3" w:rsidP="00BE1CB3">
      <w:pPr>
        <w:rPr>
          <w:rFonts w:ascii="Calibri" w:eastAsia="Times New Roman" w:hAnsi="Calibri" w:cs="Calibri"/>
          <w:color w:val="000000"/>
          <w:lang w:val="hr-HR" w:eastAsia="hr-HR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broj:</w:t>
      </w:r>
      <w:r>
        <w:rPr>
          <w:rFonts w:ascii="Calibri" w:eastAsia="Times New Roman" w:hAnsi="Calibri" w:cs="Calibri"/>
          <w:color w:val="000000"/>
          <w:lang w:val="hr-HR" w:eastAsia="hr-HR"/>
        </w:rPr>
        <w:t>2196-2-5/25-23</w:t>
      </w:r>
      <w:r>
        <w:rPr>
          <w:rFonts w:ascii="Calibri" w:eastAsia="Times New Roman" w:hAnsi="Calibri" w:cs="Calibri"/>
          <w:color w:val="000000"/>
          <w:lang w:val="hr-HR" w:eastAsia="hr-HR"/>
        </w:rPr>
        <w:t>1</w:t>
      </w:r>
    </w:p>
    <w:p w14:paraId="2DCEB87C" w14:textId="249FC0A7" w:rsidR="00BE1CB3" w:rsidRDefault="00BE1CB3" w:rsidP="00BE1CB3">
      <w:pPr>
        <w:rPr>
          <w:rFonts w:ascii="Calibri" w:eastAsia="Times New Roman" w:hAnsi="Calibri" w:cs="Calibri"/>
          <w:color w:val="000000"/>
          <w:lang w:val="hr-HR"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Klasa: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  <w:lang w:val="hr-HR" w:eastAsia="hr-HR"/>
        </w:rPr>
        <w:t>112-01-10/25-01/0</w:t>
      </w:r>
      <w:r>
        <w:rPr>
          <w:rFonts w:ascii="Calibri" w:eastAsia="Times New Roman" w:hAnsi="Calibri" w:cs="Calibri"/>
          <w:color w:val="000000"/>
          <w:lang w:val="hr-HR" w:eastAsia="hr-HR"/>
        </w:rPr>
        <w:t>5</w:t>
      </w:r>
    </w:p>
    <w:p w14:paraId="6E882697" w14:textId="77777777" w:rsidR="00BE1CB3" w:rsidRDefault="00BE1CB3" w:rsidP="00BE1CB3">
      <w:pPr>
        <w:spacing w:after="0" w:line="23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83D5BDF" w14:textId="77777777" w:rsidR="00BE1CB3" w:rsidRDefault="00BE1CB3" w:rsidP="00BE1CB3">
      <w:pPr>
        <w:spacing w:line="23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 Iloku, 14. listopada 2025. godine</w:t>
      </w:r>
    </w:p>
    <w:p w14:paraId="64FA854D" w14:textId="77777777" w:rsidR="00BE1CB3" w:rsidRDefault="00BE1CB3" w:rsidP="00BE1CB3">
      <w:pPr>
        <w:spacing w:line="23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79D8CE95" w14:textId="53C2F4B1" w:rsidR="00BE1CB3" w:rsidRDefault="00BE1CB3" w:rsidP="00BE1CB3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2.1.1 – 2.6.1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ustrojstvu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Iloka,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pripravnika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kustosa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F78">
        <w:rPr>
          <w:rFonts w:ascii="Times New Roman" w:hAnsi="Times New Roman" w:cs="Times New Roman"/>
          <w:sz w:val="24"/>
          <w:szCs w:val="24"/>
        </w:rPr>
        <w:t>Kulturno-povijesnom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sljedeću</w:t>
      </w:r>
      <w:proofErr w:type="spellEnd"/>
    </w:p>
    <w:p w14:paraId="0D7A34C0" w14:textId="77777777" w:rsidR="00BE1CB3" w:rsidRDefault="00BE1CB3" w:rsidP="00BE1CB3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465EBA" w14:textId="77777777" w:rsidR="00BE1CB3" w:rsidRDefault="00BE1CB3" w:rsidP="00BE1CB3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UPUTU</w:t>
      </w:r>
    </w:p>
    <w:p w14:paraId="3AACC928" w14:textId="77777777" w:rsidR="00BE1CB3" w:rsidRDefault="00BE1CB3" w:rsidP="00BE1CB3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kandidatkinjama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natječaja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ADD73B" w14:textId="77777777" w:rsidR="00BE1CB3" w:rsidRDefault="00BE1CB3" w:rsidP="00BE1CB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6A1CA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OBJAVA NATJEČAJA</w:t>
      </w:r>
    </w:p>
    <w:p w14:paraId="4619946E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015D4" w14:textId="1EC3A547" w:rsidR="00BE1CB3" w:rsidRDefault="00BE1CB3" w:rsidP="00BE1CB3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Ravnateljica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Muzeja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grada</w:t>
      </w:r>
      <w:proofErr w:type="spellEnd"/>
      <w:r>
        <w:rPr>
          <w:rFonts w:cstheme="minorHAnsi"/>
          <w:sz w:val="24"/>
          <w:szCs w:val="24"/>
        </w:rPr>
        <w:t xml:space="preserve"> Iloka </w:t>
      </w:r>
      <w:proofErr w:type="spellStart"/>
      <w:r>
        <w:rPr>
          <w:rFonts w:cstheme="minorHAnsi"/>
          <w:sz w:val="24"/>
          <w:szCs w:val="24"/>
        </w:rPr>
        <w:t>raspisala</w:t>
      </w:r>
      <w:proofErr w:type="spellEnd"/>
      <w:r>
        <w:rPr>
          <w:rFonts w:cstheme="minorHAnsi"/>
          <w:sz w:val="24"/>
          <w:szCs w:val="24"/>
        </w:rPr>
        <w:t xml:space="preserve"> je </w:t>
      </w:r>
      <w:proofErr w:type="spellStart"/>
      <w:r>
        <w:rPr>
          <w:rFonts w:cstheme="minorHAnsi"/>
          <w:sz w:val="24"/>
          <w:szCs w:val="24"/>
        </w:rPr>
        <w:t>Natječaj</w:t>
      </w:r>
      <w:proofErr w:type="spellEnd"/>
      <w:r>
        <w:rPr>
          <w:rFonts w:cstheme="minorHAnsi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pripravnika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kustosa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F78">
        <w:rPr>
          <w:rFonts w:ascii="Times New Roman" w:hAnsi="Times New Roman" w:cs="Times New Roman"/>
          <w:sz w:val="24"/>
          <w:szCs w:val="24"/>
        </w:rPr>
        <w:t>Kulturno-povijesnom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neodređeno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vrijeme</w:t>
      </w:r>
      <w:proofErr w:type="spellEnd"/>
      <w:r>
        <w:rPr>
          <w:rFonts w:cstheme="minorHAnsi"/>
          <w:sz w:val="24"/>
          <w:szCs w:val="24"/>
        </w:rPr>
        <w:t xml:space="preserve">  (u </w:t>
      </w:r>
      <w:proofErr w:type="spellStart"/>
      <w:r>
        <w:rPr>
          <w:rFonts w:cstheme="minorHAnsi"/>
          <w:sz w:val="24"/>
          <w:szCs w:val="24"/>
        </w:rPr>
        <w:t>daljnjem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tekstu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Natječaj</w:t>
      </w:r>
      <w:proofErr w:type="spellEnd"/>
      <w:r>
        <w:rPr>
          <w:rFonts w:cstheme="minorHAnsi"/>
          <w:sz w:val="24"/>
          <w:szCs w:val="24"/>
        </w:rPr>
        <w:t>).</w:t>
      </w:r>
    </w:p>
    <w:p w14:paraId="27324600" w14:textId="77777777" w:rsidR="00BE1CB3" w:rsidRDefault="00BE1CB3" w:rsidP="00BE1CB3">
      <w:pPr>
        <w:spacing w:after="0" w:line="23" w:lineRule="atLeast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Natječaj</w:t>
      </w:r>
      <w:proofErr w:type="spellEnd"/>
      <w:r>
        <w:rPr>
          <w:rFonts w:cstheme="minorHAnsi"/>
          <w:sz w:val="24"/>
          <w:szCs w:val="24"/>
        </w:rPr>
        <w:t xml:space="preserve"> je </w:t>
      </w:r>
      <w:proofErr w:type="spellStart"/>
      <w:r>
        <w:rPr>
          <w:rFonts w:cstheme="minorHAnsi"/>
          <w:sz w:val="24"/>
          <w:szCs w:val="24"/>
        </w:rPr>
        <w:t>objavljen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19.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rujna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2025. </w:t>
      </w:r>
      <w:proofErr w:type="spellStart"/>
      <w:proofErr w:type="gramStart"/>
      <w:r>
        <w:rPr>
          <w:rFonts w:cstheme="minorHAnsi"/>
          <w:color w:val="000000" w:themeColor="text1"/>
          <w:sz w:val="24"/>
          <w:szCs w:val="24"/>
        </w:rPr>
        <w:t>godine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na</w:t>
      </w:r>
      <w:proofErr w:type="spellEnd"/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službenim</w:t>
      </w:r>
      <w:proofErr w:type="spellEnd"/>
      <w:r>
        <w:rPr>
          <w:rFonts w:cstheme="minorHAnsi"/>
          <w:sz w:val="24"/>
          <w:szCs w:val="24"/>
        </w:rPr>
        <w:t xml:space="preserve"> web-</w:t>
      </w:r>
      <w:proofErr w:type="spellStart"/>
      <w:r>
        <w:rPr>
          <w:rFonts w:cstheme="minorHAnsi"/>
          <w:sz w:val="24"/>
          <w:szCs w:val="24"/>
        </w:rPr>
        <w:t>stranicama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Muzeja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grada</w:t>
      </w:r>
      <w:proofErr w:type="spellEnd"/>
      <w:r>
        <w:rPr>
          <w:rFonts w:cstheme="minorHAnsi"/>
          <w:sz w:val="24"/>
          <w:szCs w:val="24"/>
        </w:rPr>
        <w:t xml:space="preserve"> Iloka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Narodnim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novinama</w:t>
      </w:r>
      <w:proofErr w:type="spellEnd"/>
      <w:r>
        <w:rPr>
          <w:rFonts w:cstheme="minorHAnsi"/>
          <w:sz w:val="24"/>
          <w:szCs w:val="24"/>
        </w:rPr>
        <w:t>.</w:t>
      </w:r>
    </w:p>
    <w:p w14:paraId="4EB43BA0" w14:textId="77777777" w:rsidR="00BE1CB3" w:rsidRDefault="00BE1CB3" w:rsidP="00BE1CB3">
      <w:pPr>
        <w:spacing w:after="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36049DB" w14:textId="77777777" w:rsidR="00BE1CB3" w:rsidRDefault="00BE1CB3" w:rsidP="00BE1CB3">
      <w:pPr>
        <w:tabs>
          <w:tab w:val="left" w:pos="6072"/>
        </w:tabs>
        <w:spacing w:line="23" w:lineRule="atLeast"/>
        <w:contextualSpacing/>
        <w:jc w:val="both"/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  <w:r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ab/>
      </w:r>
    </w:p>
    <w:p w14:paraId="4FFE4381" w14:textId="77777777" w:rsidR="00BE1CB3" w:rsidRDefault="00BE1CB3" w:rsidP="00BE1CB3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Mjesto</w:t>
      </w:r>
      <w:proofErr w:type="spellEnd"/>
      <w:r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rada: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Ilok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687089E5" w14:textId="77777777" w:rsidR="00BE1CB3" w:rsidRDefault="00BE1CB3" w:rsidP="00BE1CB3">
      <w:pPr>
        <w:spacing w:after="0" w:line="23" w:lineRule="atLeast"/>
        <w:textAlignment w:val="baseline"/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406714D2" w14:textId="77777777" w:rsidR="00BE1CB3" w:rsidRDefault="00BE1CB3" w:rsidP="00BE1CB3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Podaci</w:t>
      </w:r>
      <w:proofErr w:type="spellEnd"/>
      <w:r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o </w:t>
      </w:r>
      <w:proofErr w:type="spellStart"/>
      <w:r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plaći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4D969514" w14:textId="77777777" w:rsidR="00BE1CB3" w:rsidRDefault="00BE1CB3" w:rsidP="00BE1CB3">
      <w:pPr>
        <w:spacing w:after="0" w:line="23" w:lineRule="atLeast"/>
        <w:jc w:val="both"/>
        <w:textAlignment w:val="baseline"/>
        <w:rPr>
          <w:rFonts w:eastAsia="Times New Roman" w:cstheme="minorHAnsi"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sz w:val="24"/>
          <w:szCs w:val="24"/>
          <w:lang w:eastAsia="hr-HR"/>
        </w:rPr>
        <w:t>Plaća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utvrđena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Pravilnikom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plaćama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naknadama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ostalim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materijalnim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pravima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djelatnika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s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koeficijentima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složenosti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poslova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te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osnovnu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plaću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čini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umnožak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osnovice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koeficijenta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prema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iCs/>
          <w:sz w:val="24"/>
          <w:szCs w:val="24"/>
          <w:lang w:eastAsia="hr-HR"/>
        </w:rPr>
        <w:t>složenosti</w:t>
      </w:r>
      <w:proofErr w:type="spellEnd"/>
      <w:r>
        <w:rPr>
          <w:rFonts w:eastAsia="Times New Roman" w:cstheme="minorHAnsi"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iCs/>
          <w:sz w:val="24"/>
          <w:szCs w:val="24"/>
          <w:lang w:eastAsia="hr-HR"/>
        </w:rPr>
        <w:t>poslova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na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koje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službenik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namještenik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raspoređen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uvećan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za 0,5 % za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svaku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navršenu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godinu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radnog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staža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>.</w:t>
      </w:r>
    </w:p>
    <w:p w14:paraId="24E20379" w14:textId="77777777" w:rsidR="00BE1CB3" w:rsidRDefault="00BE1CB3" w:rsidP="00BE1CB3">
      <w:pPr>
        <w:spacing w:after="0" w:line="23" w:lineRule="atLeast"/>
        <w:jc w:val="both"/>
        <w:textAlignment w:val="baseline"/>
        <w:rPr>
          <w:rFonts w:eastAsia="Times New Roman" w:cstheme="minorHAnsi"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sz w:val="24"/>
          <w:szCs w:val="24"/>
          <w:lang w:eastAsia="hr-HR"/>
        </w:rPr>
        <w:t>Koeficijent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određen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Pravilnikom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plaćama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naknadama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ostalim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materijalnim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pravima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djelatnika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s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koeficijentima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složenosti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poslova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Odlukom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izmjeni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Odluke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koeficijentima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osnovici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place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uposlenika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Muzeja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grada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Iloka u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visini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od 2,2571, </w:t>
      </w:r>
      <w:proofErr w:type="gramStart"/>
      <w:r>
        <w:rPr>
          <w:rFonts w:eastAsia="Times New Roman" w:cstheme="minorHAnsi"/>
          <w:sz w:val="24"/>
          <w:szCs w:val="24"/>
          <w:lang w:eastAsia="hr-HR"/>
        </w:rPr>
        <w:t>a</w:t>
      </w:r>
      <w:proofErr w:type="gram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osnovica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utvrđena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Odlukom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izmjeni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Odluke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osnovici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djelatnika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Muzeja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grada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Iloka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Gradske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knjižnice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čitaonice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Ilok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od 26.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kolovoza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2024. u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iznosu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od 600,00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eura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bruto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>.</w:t>
      </w:r>
    </w:p>
    <w:p w14:paraId="0DABFF51" w14:textId="77777777" w:rsidR="00BE1CB3" w:rsidRDefault="00BE1CB3" w:rsidP="00BE1CB3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6E8F69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05F7A" w14:textId="77777777" w:rsidR="00BE1CB3" w:rsidRDefault="00BE1CB3" w:rsidP="00BE1CB3">
      <w:pPr>
        <w:spacing w:line="23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3DDB84DE" w14:textId="77777777" w:rsidR="00BE1CB3" w:rsidRDefault="00BE1CB3" w:rsidP="00BE1CB3">
      <w:pPr>
        <w:spacing w:line="23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Opis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poslova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:</w:t>
      </w:r>
    </w:p>
    <w:p w14:paraId="2984FF4F" w14:textId="77777777" w:rsidR="00BE1CB3" w:rsidRDefault="00BE1CB3" w:rsidP="00BE1CB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433830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prikuplja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CF7603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vođenja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EF0C35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koncepcije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povremene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B43328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rada,</w:t>
      </w:r>
    </w:p>
    <w:p w14:paraId="5D1B6091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djelokruga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rada,</w:t>
      </w:r>
    </w:p>
    <w:p w14:paraId="7E548F1C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usavršava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sudjeluje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032FB8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pruža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E4A53C6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>
        <w:rPr>
          <w:rFonts w:ascii="Times New Roman" w:hAnsi="Times New Roman" w:cs="Times New Roman"/>
          <w:sz w:val="24"/>
          <w:szCs w:val="24"/>
        </w:rPr>
        <w:t>/ice.</w:t>
      </w:r>
    </w:p>
    <w:p w14:paraId="147CBA09" w14:textId="77777777" w:rsidR="00BE1CB3" w:rsidRDefault="00BE1CB3" w:rsidP="00BE1C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F99C5A" w14:textId="77777777" w:rsidR="00BE1CB3" w:rsidRDefault="00BE1CB3" w:rsidP="00BE1CB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liječničko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EFDB32" w14:textId="77777777" w:rsidR="00BE1CB3" w:rsidRDefault="00BE1CB3" w:rsidP="00BE1CB3">
      <w:pPr>
        <w:spacing w:after="0" w:line="2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8F757" w14:textId="77777777" w:rsidR="00BE1CB3" w:rsidRDefault="00BE1CB3" w:rsidP="00BE1CB3">
      <w:pPr>
        <w:spacing w:after="0" w:line="2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Prethodna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provjera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znanja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obuhvaća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:</w:t>
      </w:r>
    </w:p>
    <w:p w14:paraId="0BF586EC" w14:textId="77777777" w:rsidR="00BE1CB3" w:rsidRDefault="00BE1CB3" w:rsidP="00BE1CB3">
      <w:pPr>
        <w:spacing w:after="0" w:line="2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545B5B1" w14:textId="77777777" w:rsidR="00BE1CB3" w:rsidRDefault="00BE1CB3" w:rsidP="00BE1CB3">
      <w:pPr>
        <w:spacing w:after="0" w:line="2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E583CB7" w14:textId="77777777" w:rsidR="00BE1CB3" w:rsidRDefault="00BE1CB3" w:rsidP="00BE1CB3">
      <w:pPr>
        <w:spacing w:after="0" w:line="23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5A1E0428" w14:textId="77777777" w:rsidR="00BE1CB3" w:rsidRDefault="00BE1CB3" w:rsidP="00BE1CB3">
      <w:pPr>
        <w:spacing w:after="0" w:line="2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kustos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925DE7" w14:textId="77777777" w:rsidR="00BE1CB3" w:rsidRDefault="00BE1CB3" w:rsidP="00BE1CB3">
      <w:pPr>
        <w:spacing w:after="0" w:line="23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294BEC" w14:textId="77777777" w:rsidR="00BE1CB3" w:rsidRDefault="00BE1CB3" w:rsidP="00BE1CB3">
      <w:pPr>
        <w:pStyle w:val="StandardWeb"/>
        <w:spacing w:line="23" w:lineRule="atLeast"/>
        <w:rPr>
          <w:rFonts w:eastAsia="Times New Roman"/>
          <w:lang w:val="hr-HR" w:eastAsia="hr-HR"/>
        </w:rPr>
      </w:pPr>
      <w:r>
        <w:rPr>
          <w:rFonts w:eastAsia="Times New Roman"/>
          <w:lang w:eastAsia="hr-HR"/>
        </w:rPr>
        <w:t xml:space="preserve">1. </w:t>
      </w:r>
      <w:r>
        <w:rPr>
          <w:rFonts w:eastAsia="Times New Roman"/>
          <w:lang w:val="hr-HR" w:eastAsia="hr-HR"/>
        </w:rPr>
        <w:t>Zakoni:</w:t>
      </w:r>
    </w:p>
    <w:p w14:paraId="195270E2" w14:textId="2F06ACD6" w:rsidR="00BE1CB3" w:rsidRDefault="00BE1CB3" w:rsidP="00BE1CB3">
      <w:pPr>
        <w:numPr>
          <w:ilvl w:val="0"/>
          <w:numId w:val="1"/>
        </w:numPr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muzejima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61/18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 </w:t>
      </w:r>
      <w:hyperlink r:id="rId6" w:tgtFrame="_blank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98/19, stupa na snagu 1. 1. 2020</w:t>
        </w:r>
      </w:hyperlink>
      <w:r w:rsidRPr="00BE1CB3">
        <w:rPr>
          <w:b/>
          <w:bCs/>
          <w:sz w:val="24"/>
          <w:szCs w:val="24"/>
        </w:rPr>
        <w:t xml:space="preserve">, </w:t>
      </w:r>
      <w:r w:rsidRPr="00BE1CB3">
        <w:rPr>
          <w:rFonts w:ascii="Times New Roman" w:hAnsi="Times New Roman" w:cs="Times New Roman"/>
          <w:b/>
          <w:bCs/>
          <w:sz w:val="24"/>
          <w:szCs w:val="24"/>
        </w:rPr>
        <w:t>NN 36/24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</w:p>
    <w:p w14:paraId="0AC140E8" w14:textId="246E5768" w:rsidR="00BE1CB3" w:rsidRDefault="00BE1CB3" w:rsidP="00BE1CB3">
      <w:pPr>
        <w:numPr>
          <w:ilvl w:val="0"/>
          <w:numId w:val="1"/>
        </w:numPr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zaštiti i očuvanju kulturnih dobara (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69/99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 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151/03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NN 157/03, </w:t>
      </w:r>
      <w:hyperlink r:id="rId9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87/09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 </w:t>
      </w:r>
      <w:hyperlink r:id="rId10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88/10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 </w:t>
      </w:r>
      <w:hyperlink r:id="rId11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61/11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 </w:t>
      </w:r>
      <w:hyperlink r:id="rId12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25/12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 </w:t>
      </w:r>
      <w:hyperlink r:id="rId13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136/12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 </w:t>
      </w:r>
      <w:hyperlink r:id="rId14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157/13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 </w:t>
      </w:r>
      <w:hyperlink r:id="rId15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NN 152/14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 NN 98/15, NN </w:t>
      </w:r>
      <w:hyperlink r:id="rId16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44/17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 NN </w:t>
      </w:r>
      <w:hyperlink r:id="rId17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hr-HR" w:eastAsia="hr-HR"/>
          </w:rPr>
          <w:t>90/18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 NN 32/20, NN 62/20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 NN 145/24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)</w:t>
      </w:r>
    </w:p>
    <w:p w14:paraId="32E3BD9A" w14:textId="77777777" w:rsidR="00BE1CB3" w:rsidRDefault="00BE1CB3" w:rsidP="00BE1CB3">
      <w:pPr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Pravilnici:</w:t>
      </w:r>
    </w:p>
    <w:p w14:paraId="65ED950F" w14:textId="77777777" w:rsidR="00BE1CB3" w:rsidRDefault="00BE1CB3" w:rsidP="00BE1CB3">
      <w:pPr>
        <w:numPr>
          <w:ilvl w:val="0"/>
          <w:numId w:val="2"/>
        </w:numPr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Pravilnik o očevidniku muzeja, te muzeja, galerija i zbirki unutar ustanova i drugih pravnih osoba (</w:t>
      </w:r>
      <w:hyperlink r:id="rId18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hr-HR" w:eastAsia="hr-HR"/>
          </w:rPr>
          <w:t>NN 96/99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)</w:t>
      </w:r>
    </w:p>
    <w:p w14:paraId="667C51AA" w14:textId="77777777" w:rsidR="00BE1CB3" w:rsidRDefault="00BE1CB3" w:rsidP="00BE1CB3">
      <w:pPr>
        <w:numPr>
          <w:ilvl w:val="0"/>
          <w:numId w:val="2"/>
        </w:numPr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Pravilnik o uvjetima i načinu ostvarivanja uvida u muzejsku građu i muzejsku dokumentaciju (</w:t>
      </w:r>
      <w:hyperlink r:id="rId19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hr-HR" w:eastAsia="hr-HR"/>
          </w:rPr>
          <w:t>NN 115/01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)</w:t>
      </w:r>
    </w:p>
    <w:p w14:paraId="4A55D234" w14:textId="77777777" w:rsidR="00BE1CB3" w:rsidRDefault="00BE1CB3" w:rsidP="00BE1CB3">
      <w:pPr>
        <w:numPr>
          <w:ilvl w:val="0"/>
          <w:numId w:val="2"/>
        </w:numPr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Pravilnik o sadržaju i načinu vođenja muzejske dokumentacije o muzejskoj građi (</w:t>
      </w:r>
      <w:hyperlink r:id="rId20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hr-HR" w:eastAsia="hr-HR"/>
          </w:rPr>
          <w:t>NN 21/2</w:t>
        </w:r>
      </w:hyperlink>
      <w:r w:rsidRPr="00BE1C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)</w:t>
      </w:r>
    </w:p>
    <w:p w14:paraId="596E00DC" w14:textId="77777777" w:rsidR="00BE1CB3" w:rsidRDefault="00BE1CB3" w:rsidP="00BE1CB3">
      <w:pPr>
        <w:numPr>
          <w:ilvl w:val="0"/>
          <w:numId w:val="2"/>
        </w:numPr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Pravilnik o stručnim i tehničkim standardima za određivanje vrste muzeja, za njihov rad, te za smještaj muzejske građe i muzejske dokumentacije (</w:t>
      </w:r>
      <w:hyperlink r:id="rId21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hr-HR" w:eastAsia="hr-HR"/>
          </w:rPr>
          <w:t>NN 30/06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)</w:t>
      </w:r>
    </w:p>
    <w:p w14:paraId="6C23EE4E" w14:textId="77777777" w:rsidR="00BE1CB3" w:rsidRDefault="00BE1CB3" w:rsidP="00BE1CB3">
      <w:pPr>
        <w:numPr>
          <w:ilvl w:val="0"/>
          <w:numId w:val="2"/>
        </w:numPr>
        <w:spacing w:before="100" w:beforeAutospacing="1" w:after="100" w:afterAutospacing="1" w:line="2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Pravilnik o stručnim muzejskim zvanjima i drugim zvanjima u muzejskoj djelatnosti te uvjetima i načinu njihova stjecanja (NN </w:t>
      </w:r>
      <w:hyperlink r:id="rId22" w:tgtFrame="_blank" w:history="1">
        <w:r>
          <w:rPr>
            <w:rStyle w:val="Hiperveza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hr-HR" w:eastAsia="hr-HR"/>
          </w:rPr>
          <w:t>104/19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 - stupa na snagu 7.11.2019.)</w:t>
      </w:r>
    </w:p>
    <w:p w14:paraId="007EF561" w14:textId="77777777" w:rsidR="00BE1CB3" w:rsidRDefault="00BE1CB3" w:rsidP="00BE1CB3">
      <w:pPr>
        <w:tabs>
          <w:tab w:val="left" w:pos="1134"/>
        </w:tabs>
        <w:spacing w:after="0" w:line="252" w:lineRule="auto"/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</w:pPr>
      <w:r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  <w:t>Vrijeme trajanja testiranja – pisanog dijela je 60 minuta.</w:t>
      </w:r>
      <w:r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  <w:br/>
      </w:r>
    </w:p>
    <w:p w14:paraId="21983E17" w14:textId="77777777" w:rsidR="00BE1CB3" w:rsidRDefault="00BE1CB3" w:rsidP="00BE1CB3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b/>
          <w:color w:val="171717" w:themeColor="background2" w:themeShade="1A"/>
          <w:sz w:val="24"/>
          <w:szCs w:val="24"/>
          <w:lang w:val="hr-HR" w:eastAsia="hr-HR"/>
        </w:rPr>
        <w:t>Pravila testiranja:</w:t>
      </w:r>
    </w:p>
    <w:p w14:paraId="6892C681" w14:textId="77777777" w:rsidR="00BE1CB3" w:rsidRDefault="00BE1CB3" w:rsidP="00BE1CB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Prije početka testiranja obavlja se uvid u identifikacijsku ispravu (važeća osobna iskaznica ili putovnica) radi utvrđivanja identiteta kandidata u predmetnom natječaju. Kandidati/kandidatkinje koji/koje ne mogu dokazati identitet osobe prijavljene na natječaj ili se utvrdi da nisu podnijeli/podnijele prijavu na javni natječaj za mjesto za koje se obavlja testiranje ne mogu pristupiti testiranju.</w:t>
      </w:r>
    </w:p>
    <w:p w14:paraId="61D63983" w14:textId="77777777" w:rsidR="00BE1CB3" w:rsidRDefault="00BE1CB3" w:rsidP="00BE1CB3">
      <w:p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7269354C" w14:textId="77777777" w:rsidR="00BE1CB3" w:rsidRDefault="00BE1CB3" w:rsidP="00BE1CB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Nakon utvrđivanja identiteta i statusa kandidata, kandidatima/kandidatkinjama će biti podijeljena pitanja za provjeru znanja. Kandidat/kandidatkinja je dužan/dužna vlastoručno upisati ime i prezime na označenom mjestu u testu.</w:t>
      </w:r>
    </w:p>
    <w:p w14:paraId="492E953A" w14:textId="77777777" w:rsidR="00BE1CB3" w:rsidRDefault="00BE1CB3" w:rsidP="00BE1CB3">
      <w:pPr>
        <w:spacing w:after="0" w:line="240" w:lineRule="auto"/>
        <w:ind w:left="426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1B1FAC36" w14:textId="77777777" w:rsidR="00BE1CB3" w:rsidRDefault="00BE1CB3" w:rsidP="00BE1CB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Za vrijeme pisane provjere znanja nije dopušteno:</w:t>
      </w:r>
    </w:p>
    <w:p w14:paraId="291E5ACD" w14:textId="77777777" w:rsidR="00BE1CB3" w:rsidRDefault="00BE1CB3" w:rsidP="00BE1CB3">
      <w:pPr>
        <w:numPr>
          <w:ilvl w:val="1"/>
          <w:numId w:val="5"/>
        </w:numPr>
        <w:spacing w:after="0" w:line="240" w:lineRule="auto"/>
        <w:ind w:left="709" w:hanging="142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koristiti se bilo kakvom literaturom odnosno bilješkama</w:t>
      </w:r>
    </w:p>
    <w:p w14:paraId="0C8E3362" w14:textId="77777777" w:rsidR="00BE1CB3" w:rsidRDefault="00BE1CB3" w:rsidP="00BE1CB3">
      <w:pPr>
        <w:numPr>
          <w:ilvl w:val="1"/>
          <w:numId w:val="5"/>
        </w:numPr>
        <w:spacing w:after="0" w:line="240" w:lineRule="auto"/>
        <w:ind w:left="709" w:hanging="142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koristiti mobitel ili druga komunikacijska sredstva</w:t>
      </w:r>
    </w:p>
    <w:p w14:paraId="4655DFF6" w14:textId="77777777" w:rsidR="00BE1CB3" w:rsidRDefault="00BE1CB3" w:rsidP="00BE1CB3">
      <w:pPr>
        <w:numPr>
          <w:ilvl w:val="1"/>
          <w:numId w:val="5"/>
        </w:numPr>
        <w:spacing w:after="0" w:line="240" w:lineRule="auto"/>
        <w:ind w:left="709" w:hanging="142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napuštati prostoriju u kojoj se obavlja provjera</w:t>
      </w:r>
    </w:p>
    <w:p w14:paraId="677DC465" w14:textId="77777777" w:rsidR="00BE1CB3" w:rsidRDefault="00BE1CB3" w:rsidP="00BE1CB3">
      <w:pPr>
        <w:numPr>
          <w:ilvl w:val="1"/>
          <w:numId w:val="5"/>
        </w:numPr>
        <w:spacing w:after="0" w:line="240" w:lineRule="auto"/>
        <w:ind w:left="709" w:hanging="142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razgovarati s ostalim kandidatima niti na drugi način ometati koncentraciju kandidata.</w:t>
      </w:r>
    </w:p>
    <w:p w14:paraId="5EE44356" w14:textId="77777777" w:rsidR="00BE1CB3" w:rsidRDefault="00BE1CB3" w:rsidP="00BE1CB3">
      <w:pPr>
        <w:spacing w:after="0" w:line="240" w:lineRule="auto"/>
        <w:ind w:left="426" w:hanging="284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75F8229D" w14:textId="77777777" w:rsidR="00BE1CB3" w:rsidRDefault="00BE1CB3" w:rsidP="00BE1CB3">
      <w:pPr>
        <w:spacing w:after="0" w:line="240" w:lineRule="auto"/>
        <w:ind w:left="426"/>
        <w:contextualSpacing/>
        <w:jc w:val="both"/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  <w:t>Ako pojedini/pojedina kandidat/kandidatkinja prekrši pravila testiranja iz točke 3. bit će udaljen/udaljena s mjesta provjere znanja, a njegov/njen rezultat Komisija neće priznati niti ocjenjivati.</w:t>
      </w:r>
    </w:p>
    <w:p w14:paraId="4B54E236" w14:textId="77777777" w:rsidR="00BE1CB3" w:rsidRDefault="00BE1CB3" w:rsidP="00BE1CB3">
      <w:pPr>
        <w:spacing w:after="0" w:line="240" w:lineRule="auto"/>
        <w:ind w:left="426"/>
        <w:jc w:val="both"/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</w:pPr>
    </w:p>
    <w:p w14:paraId="12771127" w14:textId="77777777" w:rsidR="00BE1CB3" w:rsidRDefault="00BE1CB3" w:rsidP="00BE1CB3">
      <w:pPr>
        <w:spacing w:after="0" w:line="240" w:lineRule="auto"/>
        <w:ind w:left="426"/>
        <w:contextualSpacing/>
        <w:jc w:val="both"/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  <w:t>Za vrijeme testiranja kandidati/kandidatkinje dužni/dužne su postupati prema uputama Komisije. U slučaju nepridržavanja uputa Komisije, kandidati/kandidatkinje će biti upozoreni/upozorene na primjeren način, a ako se i dalje nastave neprimjereno ponašati bit će udaljeni/udaljene s testiranja te će se smatrati da su povukli/povukle prijavu na javni natječaj.</w:t>
      </w:r>
    </w:p>
    <w:p w14:paraId="7CD9CF58" w14:textId="77777777" w:rsidR="00BE1CB3" w:rsidRDefault="00BE1CB3" w:rsidP="00BE1CB3">
      <w:pPr>
        <w:spacing w:after="0" w:line="240" w:lineRule="auto"/>
        <w:ind w:left="426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4AF45C6D" w14:textId="77777777" w:rsidR="00BE1CB3" w:rsidRDefault="00BE1CB3" w:rsidP="00BE1CB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Svako točno odgovoreno pitanje iz određenog područja testiranja vrednuje se 0,5 ili 1 bodom. Smatra se da je kandidat zadovoljio na pisanoj provjeri znanja – testiranju ako je iz svakog područja testiranja ostvario 50% točnih odgovora.</w:t>
      </w:r>
      <w:r>
        <w:rPr>
          <w:rFonts w:cstheme="minorHAnsi"/>
          <w:sz w:val="24"/>
          <w:szCs w:val="24"/>
          <w:lang w:val="hr-HR" w:eastAsia="hr-HR"/>
        </w:rPr>
        <w:t xml:space="preserve"> </w:t>
      </w: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Odgovori na testu moraju biti jasno i nedvosmisleno označeni, u protivnom će se takav odgovor ocijeniti kao netočan, s 0 bodova.</w:t>
      </w:r>
    </w:p>
    <w:p w14:paraId="1B8AAC5F" w14:textId="77777777" w:rsidR="00BE1CB3" w:rsidRDefault="00BE1CB3" w:rsidP="00BE1CB3">
      <w:pPr>
        <w:spacing w:after="0" w:line="240" w:lineRule="auto"/>
        <w:ind w:left="426" w:hanging="284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32038C22" w14:textId="77777777" w:rsidR="00BE1CB3" w:rsidRDefault="00BE1CB3" w:rsidP="00BE1CB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Nakon provedenog testiranja, Komisija će utvrditi listu kandidata prema ukupnom broju bodova ostvarenih na provjeri znanja.</w:t>
      </w:r>
    </w:p>
    <w:p w14:paraId="4D23C31A" w14:textId="77777777" w:rsidR="00BE1CB3" w:rsidRDefault="00BE1CB3" w:rsidP="00BE1CB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7000929C" w14:textId="77777777" w:rsidR="00BE1CB3" w:rsidRDefault="00BE1CB3" w:rsidP="00BE1CB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61056687" w14:textId="77777777" w:rsidR="00BE1CB3" w:rsidRDefault="00BE1CB3" w:rsidP="00BE1CB3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273B2CA0" w14:textId="77777777" w:rsidR="00BE1CB3" w:rsidRDefault="00BE1CB3" w:rsidP="00BE1CB3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242BB8F7" w14:textId="77777777" w:rsidR="00BE1CB3" w:rsidRDefault="00BE1CB3" w:rsidP="00BE1CB3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  <w:r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  <w:t>Razgovor (intervju)</w:t>
      </w:r>
    </w:p>
    <w:p w14:paraId="3C63901B" w14:textId="77777777" w:rsidR="00BE1CB3" w:rsidRDefault="00BE1CB3" w:rsidP="00BE1CB3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529C345F" w14:textId="77777777" w:rsidR="00BE1CB3" w:rsidRDefault="00BE1CB3" w:rsidP="00BE1CB3">
      <w:pPr>
        <w:spacing w:after="0" w:line="240" w:lineRule="auto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S kandidatima/kandidatkinjama koji/koje ostvare minimalno 50% točnih odgovora na testiranju – pisanom dijelu, Komisija će obaviti razgovor (intervju) istog dana.</w:t>
      </w:r>
    </w:p>
    <w:p w14:paraId="4D92152D" w14:textId="77777777" w:rsidR="00BE1CB3" w:rsidRDefault="00BE1CB3" w:rsidP="00BE1CB3">
      <w:pPr>
        <w:spacing w:after="0" w:line="240" w:lineRule="auto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78433211" w14:textId="77777777" w:rsidR="00BE1CB3" w:rsidRDefault="00BE1CB3" w:rsidP="00BE1CB3">
      <w:pPr>
        <w:spacing w:before="300" w:after="150" w:line="240" w:lineRule="auto"/>
        <w:outlineLvl w:val="1"/>
        <w:rPr>
          <w:rFonts w:eastAsia="Times New Roman" w:cstheme="minorHAnsi"/>
          <w:color w:val="4E4E4E"/>
          <w:sz w:val="24"/>
          <w:szCs w:val="24"/>
          <w:lang w:val="hr-HR" w:eastAsia="hr-HR"/>
        </w:rPr>
      </w:pPr>
    </w:p>
    <w:p w14:paraId="44E4A465" w14:textId="77777777" w:rsidR="00BE1CB3" w:rsidRDefault="00BE1CB3" w:rsidP="00BE1CB3">
      <w:pPr>
        <w:spacing w:after="0" w:line="240" w:lineRule="auto"/>
        <w:rPr>
          <w:rFonts w:cstheme="minorHAnsi"/>
          <w:sz w:val="24"/>
          <w:szCs w:val="24"/>
          <w:lang w:val="hr-HR" w:eastAsia="hr-HR"/>
        </w:rPr>
      </w:pPr>
    </w:p>
    <w:p w14:paraId="12839807" w14:textId="77777777" w:rsidR="00BE1CB3" w:rsidRDefault="00BE1CB3" w:rsidP="00BE1CB3">
      <w:pPr>
        <w:spacing w:before="300" w:after="150" w:line="240" w:lineRule="auto"/>
        <w:outlineLvl w:val="1"/>
        <w:rPr>
          <w:rFonts w:eastAsia="Times New Roman" w:cstheme="minorHAnsi"/>
          <w:color w:val="4E4E4E"/>
          <w:sz w:val="24"/>
          <w:szCs w:val="24"/>
          <w:lang w:val="hr-HR" w:eastAsia="hr-HR"/>
        </w:rPr>
      </w:pPr>
    </w:p>
    <w:p w14:paraId="5D6BF625" w14:textId="77777777" w:rsidR="00BE1CB3" w:rsidRDefault="00BE1CB3" w:rsidP="00BE1CB3">
      <w:pPr>
        <w:spacing w:after="0" w:line="23" w:lineRule="atLeast"/>
        <w:textAlignment w:val="baseline"/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11CECCB9" w14:textId="77777777" w:rsidR="00BE1CB3" w:rsidRDefault="00BE1CB3" w:rsidP="00BE1CB3">
      <w:pPr>
        <w:spacing w:after="0"/>
        <w:ind w:firstLine="720"/>
        <w:jc w:val="righ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Marijana Jukić, mag. </w:t>
      </w:r>
      <w:proofErr w:type="spellStart"/>
      <w:r>
        <w:rPr>
          <w:rFonts w:cstheme="minorHAnsi"/>
          <w:sz w:val="24"/>
          <w:szCs w:val="24"/>
        </w:rPr>
        <w:t>arheol</w:t>
      </w:r>
      <w:proofErr w:type="spellEnd"/>
      <w:r>
        <w:rPr>
          <w:rFonts w:cstheme="minorHAnsi"/>
          <w:sz w:val="24"/>
          <w:szCs w:val="24"/>
        </w:rPr>
        <w:t>.</w:t>
      </w:r>
    </w:p>
    <w:p w14:paraId="4590A288" w14:textId="77777777" w:rsidR="00BE1CB3" w:rsidRDefault="00BE1CB3" w:rsidP="00BE1CB3">
      <w:pPr>
        <w:spacing w:after="0"/>
        <w:ind w:firstLine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cstheme="minorHAnsi"/>
          <w:sz w:val="24"/>
          <w:szCs w:val="24"/>
        </w:rPr>
        <w:t>ravnateljica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Muzeja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grada</w:t>
      </w:r>
      <w:proofErr w:type="spellEnd"/>
      <w:r>
        <w:rPr>
          <w:rFonts w:cstheme="minorHAnsi"/>
          <w:sz w:val="24"/>
          <w:szCs w:val="24"/>
        </w:rPr>
        <w:t xml:space="preserve"> Iloka</w:t>
      </w:r>
    </w:p>
    <w:p w14:paraId="58B826A1" w14:textId="77777777" w:rsidR="00BE1CB3" w:rsidRDefault="00BE1CB3" w:rsidP="00BE1CB3">
      <w:pPr>
        <w:spacing w:line="23" w:lineRule="atLeast"/>
        <w:rPr>
          <w:rFonts w:cstheme="minorHAnsi"/>
          <w:sz w:val="24"/>
          <w:szCs w:val="24"/>
          <w:lang w:val="hr-HR"/>
        </w:rPr>
      </w:pPr>
    </w:p>
    <w:p w14:paraId="2BAEC58E" w14:textId="77777777" w:rsidR="00BE1CB3" w:rsidRDefault="00BE1CB3" w:rsidP="00BE1CB3">
      <w:pPr>
        <w:rPr>
          <w:rFonts w:cstheme="minorHAnsi"/>
          <w:sz w:val="24"/>
          <w:szCs w:val="24"/>
        </w:rPr>
      </w:pPr>
    </w:p>
    <w:p w14:paraId="6ADDB4F8" w14:textId="77777777" w:rsidR="00BE1CB3" w:rsidRDefault="00BE1CB3" w:rsidP="00BE1CB3">
      <w:pPr>
        <w:spacing w:line="23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1BC4D19B" w14:textId="77777777" w:rsidR="00085182" w:rsidRDefault="00085182"/>
    <w:sectPr w:rsidR="0008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32E"/>
    <w:multiLevelType w:val="multilevel"/>
    <w:tmpl w:val="D66A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333F0"/>
    <w:multiLevelType w:val="hybridMultilevel"/>
    <w:tmpl w:val="34646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61436"/>
    <w:multiLevelType w:val="multilevel"/>
    <w:tmpl w:val="2F00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11F9E"/>
    <w:multiLevelType w:val="multilevel"/>
    <w:tmpl w:val="2DB4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1464A"/>
    <w:multiLevelType w:val="hybridMultilevel"/>
    <w:tmpl w:val="02D63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D5E4538">
      <w:numFmt w:val="decimal"/>
      <w:lvlText w:val="-"/>
      <w:lvlJc w:val="left"/>
      <w:pPr>
        <w:ind w:left="1440" w:hanging="360"/>
      </w:pPr>
      <w:rPr>
        <w:rFonts w:ascii="Fira Sans Book" w:eastAsiaTheme="minorHAnsi" w:hAnsi="Fira Sans Book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86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572462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459020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2119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48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B3"/>
    <w:rsid w:val="00085182"/>
    <w:rsid w:val="004A62AD"/>
    <w:rsid w:val="00860D9F"/>
    <w:rsid w:val="00987A4E"/>
    <w:rsid w:val="00BE1CB3"/>
    <w:rsid w:val="00C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B7B4"/>
  <w15:chartTrackingRefBased/>
  <w15:docId w15:val="{BA4C0CD9-27A1-4370-AEB8-4FB8F9D3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B3"/>
    <w:pPr>
      <w:spacing w:after="200" w:line="276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E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1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1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1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1C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1C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1C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1C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1C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1C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1CB3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1C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1C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1C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1C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1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1C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1CB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BE1CB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BE1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3_09_151_2180.html" TargetMode="External"/><Relationship Id="rId13" Type="http://schemas.openxmlformats.org/officeDocument/2006/relationships/hyperlink" Target="https://narodne-novine.nn.hr/clanci/sluzbeni/2012_12_136_2883.html" TargetMode="External"/><Relationship Id="rId18" Type="http://schemas.openxmlformats.org/officeDocument/2006/relationships/hyperlink" Target="https://narodne-novine.nn.hr/clanci/sluzbeni/1999_09_96_162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rodne-novine.nn.hr/clanci/sluzbeni/2006_03_30_718.html" TargetMode="External"/><Relationship Id="rId7" Type="http://schemas.openxmlformats.org/officeDocument/2006/relationships/hyperlink" Target="https://narodne-novine.nn.hr/clanci/sluzbeni/1999_07_69_1284.html" TargetMode="External"/><Relationship Id="rId12" Type="http://schemas.openxmlformats.org/officeDocument/2006/relationships/hyperlink" Target="https://narodne-novine.nn.hr/clanci/sluzbeni/2012_02_25_636.html" TargetMode="External"/><Relationship Id="rId17" Type="http://schemas.openxmlformats.org/officeDocument/2006/relationships/hyperlink" Target="https://narodne-novine.nn.hr/clanci/sluzbeni/full/2018_10_90_175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full/2017_05_44_1000.html" TargetMode="External"/><Relationship Id="rId20" Type="http://schemas.openxmlformats.org/officeDocument/2006/relationships/hyperlink" Target="https://narodne-novine.nn.hr/clanci/sluzbeni/2002_09_108_175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full/2019_10_98_1946.html" TargetMode="External"/><Relationship Id="rId11" Type="http://schemas.openxmlformats.org/officeDocument/2006/relationships/hyperlink" Target="https://narodne-novine.nn.hr/clanci/sluzbeni/2011_06_61_1366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arodne-novine.nn.hr/clanci/sluzbeni/2018_07_61_1267.html" TargetMode="External"/><Relationship Id="rId15" Type="http://schemas.openxmlformats.org/officeDocument/2006/relationships/hyperlink" Target="https://narodne-novine.nn.hr/clanci/sluzbeni/2014_12_152_2865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arodne-novine.nn.hr/clanci/sluzbeni/2010_07_88_2464.html" TargetMode="External"/><Relationship Id="rId19" Type="http://schemas.openxmlformats.org/officeDocument/2006/relationships/hyperlink" Target="https://narodne-novine.nn.hr/clanci/sluzbeni/2001_12_115_19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09_07_87_2130.html" TargetMode="External"/><Relationship Id="rId14" Type="http://schemas.openxmlformats.org/officeDocument/2006/relationships/hyperlink" Target="https://narodne-novine.nn.hr/clanci/sluzbeni/2013_12_157_3296.html" TargetMode="External"/><Relationship Id="rId22" Type="http://schemas.openxmlformats.org/officeDocument/2006/relationships/hyperlink" Target="https://narodne-novine.nn.hr/clanci/sluzbeni/full/2019_10_104_20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Blagajna</dc:creator>
  <cp:keywords/>
  <dc:description/>
  <cp:lastModifiedBy>Blagajna</cp:lastModifiedBy>
  <cp:revision>1</cp:revision>
  <dcterms:created xsi:type="dcterms:W3CDTF">2025-10-13T14:21:00Z</dcterms:created>
  <dcterms:modified xsi:type="dcterms:W3CDTF">2025-10-13T14:33:00Z</dcterms:modified>
</cp:coreProperties>
</file>